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FE0A683" w:rsidR="00113C5A" w:rsidRPr="00455A3C" w:rsidRDefault="00113C5A" w:rsidP="00F60A53">
      <w:pPr>
        <w:pStyle w:val="F2-zkladn"/>
        <w:spacing w:line="276" w:lineRule="auto"/>
        <w:rPr>
          <w:b/>
          <w:sz w:val="28"/>
          <w:szCs w:val="28"/>
        </w:rPr>
      </w:pPr>
    </w:p>
    <w:p w14:paraId="7FEA48D8" w14:textId="2F298AB3" w:rsidR="00B123FF" w:rsidRPr="00455A3C" w:rsidRDefault="00040CF7" w:rsidP="00F60A53">
      <w:pPr>
        <w:pStyle w:val="F2-zkladn"/>
        <w:spacing w:line="276" w:lineRule="auto"/>
        <w:rPr>
          <w:b/>
          <w:sz w:val="28"/>
          <w:szCs w:val="28"/>
        </w:rPr>
      </w:pPr>
      <w:bookmarkStart w:id="0" w:name="_Hlk104376839"/>
      <w:bookmarkEnd w:id="0"/>
      <w:r>
        <w:rPr>
          <w:b/>
          <w:sz w:val="28"/>
          <w:szCs w:val="28"/>
        </w:rPr>
        <w:t>TISKOVÁ 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0BC210CA"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EDE3B55">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B836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743FE9">
        <w:t>2</w:t>
      </w:r>
      <w:r w:rsidR="005420B4" w:rsidRPr="00893890">
        <w:t>.</w:t>
      </w:r>
      <w:r w:rsidR="00E53F34">
        <w:t>října</w:t>
      </w:r>
      <w:r w:rsidR="00A30105" w:rsidRPr="00893890">
        <w:t xml:space="preserve"> 20</w:t>
      </w:r>
      <w:r w:rsidR="00A7414F" w:rsidRPr="00893890">
        <w:t>2</w:t>
      </w:r>
      <w:r w:rsidR="000F274E" w:rsidRPr="00893890">
        <w:t>3</w:t>
      </w:r>
    </w:p>
    <w:p w14:paraId="7EECF1EA" w14:textId="7E8D96CD" w:rsidR="002027ED" w:rsidRPr="002027ED" w:rsidRDefault="002027ED" w:rsidP="002027ED">
      <w:pPr>
        <w:pStyle w:val="F2-zkladn"/>
        <w:tabs>
          <w:tab w:val="right" w:pos="9070"/>
        </w:tabs>
        <w:spacing w:line="276" w:lineRule="auto"/>
      </w:pPr>
    </w:p>
    <w:p w14:paraId="1F405B0B" w14:textId="0E080386" w:rsidR="006B6F61" w:rsidRPr="00A01EEF" w:rsidRDefault="00040CF7" w:rsidP="000F75F1">
      <w:pPr>
        <w:pStyle w:val="paragraph"/>
        <w:spacing w:before="0" w:beforeAutospacing="0" w:after="0" w:afterAutospacing="0" w:line="276" w:lineRule="auto"/>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Odolnost, refinancování a riziko recese </w:t>
      </w:r>
      <w:r w:rsidRPr="00040CF7">
        <w:rPr>
          <w:rStyle w:val="normaltextrun"/>
          <w:rFonts w:ascii="Arial" w:hAnsi="Arial" w:cs="Arial"/>
          <w:b/>
          <w:bCs/>
          <w:color w:val="000000"/>
          <w:sz w:val="28"/>
          <w:szCs w:val="28"/>
          <w:lang w:val="cs-CZ"/>
        </w:rPr>
        <w:t xml:space="preserve">– </w:t>
      </w:r>
      <w:r>
        <w:rPr>
          <w:rStyle w:val="normaltextrun"/>
          <w:rFonts w:ascii="Arial" w:hAnsi="Arial" w:cs="Arial"/>
          <w:b/>
          <w:bCs/>
          <w:color w:val="000000"/>
          <w:sz w:val="28"/>
          <w:szCs w:val="28"/>
          <w:lang w:val="cs-CZ"/>
        </w:rPr>
        <w:t>i</w:t>
      </w:r>
      <w:r w:rsidRPr="00040CF7">
        <w:rPr>
          <w:rStyle w:val="normaltextrun"/>
          <w:rFonts w:ascii="Arial" w:hAnsi="Arial" w:cs="Arial"/>
          <w:b/>
          <w:bCs/>
          <w:color w:val="000000"/>
          <w:sz w:val="28"/>
          <w:szCs w:val="28"/>
          <w:lang w:val="cs-CZ"/>
        </w:rPr>
        <w:t xml:space="preserve">nvestiční výhled </w:t>
      </w:r>
      <w:proofErr w:type="spellStart"/>
      <w:r w:rsidRPr="00040CF7">
        <w:rPr>
          <w:rStyle w:val="normaltextrun"/>
          <w:rFonts w:ascii="Arial" w:hAnsi="Arial" w:cs="Arial"/>
          <w:b/>
          <w:bCs/>
          <w:color w:val="000000"/>
          <w:sz w:val="28"/>
          <w:szCs w:val="28"/>
          <w:lang w:val="cs-CZ"/>
        </w:rPr>
        <w:t>Fidelity</w:t>
      </w:r>
      <w:proofErr w:type="spellEnd"/>
      <w:r w:rsidRPr="00040CF7">
        <w:rPr>
          <w:rStyle w:val="normaltextrun"/>
          <w:rFonts w:ascii="Arial" w:hAnsi="Arial" w:cs="Arial"/>
          <w:b/>
          <w:bCs/>
          <w:color w:val="000000"/>
          <w:sz w:val="28"/>
          <w:szCs w:val="28"/>
          <w:lang w:val="cs-CZ"/>
        </w:rPr>
        <w:t xml:space="preserve"> International na 4. čtvrtletí</w:t>
      </w:r>
    </w:p>
    <w:p w14:paraId="2E78882E" w14:textId="6767211E" w:rsidR="00E76BE0" w:rsidRDefault="00E76BE0"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p>
    <w:p w14:paraId="05AB40AE" w14:textId="2DCD0AA7" w:rsidR="00E76BE0" w:rsidRDefault="00040CF7" w:rsidP="00C82B5D">
      <w:pPr>
        <w:pStyle w:val="paragraph"/>
        <w:spacing w:before="0" w:beforeAutospacing="0" w:after="0" w:afterAutospacing="0" w:line="276"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 xml:space="preserve">Trhy zatím prokázaly odolnost vůči hrozbě recese. Není však zdaleka jisté, že tomu tak bude i nadále. Poslední čtvrtletí bývá předzvěstí toho, co přinese rok následující. S ohledem na to Andrew </w:t>
      </w:r>
      <w:proofErr w:type="spellStart"/>
      <w:r>
        <w:rPr>
          <w:rFonts w:asciiTheme="minorHAnsi" w:eastAsiaTheme="minorHAnsi" w:hAnsiTheme="minorHAnsi" w:cstheme="minorBidi"/>
          <w:b/>
          <w:lang w:val="cs-CZ" w:eastAsia="en-US"/>
        </w:rPr>
        <w:t>McCaffery</w:t>
      </w:r>
      <w:proofErr w:type="spellEnd"/>
      <w:r>
        <w:rPr>
          <w:rFonts w:asciiTheme="minorHAnsi" w:eastAsiaTheme="minorHAnsi" w:hAnsiTheme="minorHAnsi" w:cstheme="minorBidi"/>
          <w:b/>
          <w:lang w:val="cs-CZ" w:eastAsia="en-US"/>
        </w:rPr>
        <w:t xml:space="preserve">, globální CIO společnosti </w:t>
      </w:r>
      <w:proofErr w:type="spellStart"/>
      <w:r>
        <w:rPr>
          <w:rFonts w:asciiTheme="minorHAnsi" w:eastAsiaTheme="minorHAnsi" w:hAnsiTheme="minorHAnsi" w:cstheme="minorBidi"/>
          <w:b/>
          <w:lang w:val="cs-CZ" w:eastAsia="en-US"/>
        </w:rPr>
        <w:t>Fidelity</w:t>
      </w:r>
      <w:proofErr w:type="spellEnd"/>
      <w:r>
        <w:rPr>
          <w:rFonts w:asciiTheme="minorHAnsi" w:eastAsiaTheme="minorHAnsi" w:hAnsiTheme="minorHAnsi" w:cstheme="minorBidi"/>
          <w:b/>
          <w:lang w:val="cs-CZ" w:eastAsia="en-US"/>
        </w:rPr>
        <w:t xml:space="preserve"> International, nastiňuje tři témata, která budou provázet trhy na cestě do roku 2024.</w:t>
      </w:r>
    </w:p>
    <w:p w14:paraId="417797DF" w14:textId="2D4EBF6D" w:rsidR="00743FE9" w:rsidRPr="00E76BE0" w:rsidRDefault="00743FE9" w:rsidP="00C82B5D">
      <w:pPr>
        <w:pStyle w:val="paragraph"/>
        <w:spacing w:before="0" w:beforeAutospacing="0" w:after="0" w:afterAutospacing="0" w:line="276" w:lineRule="auto"/>
        <w:jc w:val="both"/>
        <w:textAlignment w:val="baseline"/>
        <w:rPr>
          <w:rFonts w:asciiTheme="minorHAnsi" w:eastAsiaTheme="minorHAnsi" w:hAnsiTheme="minorHAnsi" w:cstheme="minorBidi"/>
          <w:b/>
          <w:lang w:val="cs-CZ" w:eastAsia="en-US"/>
        </w:rPr>
      </w:pPr>
    </w:p>
    <w:p w14:paraId="392621BD" w14:textId="3C34391B" w:rsidR="00EE2179" w:rsidRPr="00040CF7" w:rsidRDefault="00040CF7" w:rsidP="00040CF7">
      <w:pPr>
        <w:pStyle w:val="Odstavecseseznamem"/>
        <w:numPr>
          <w:ilvl w:val="0"/>
          <w:numId w:val="27"/>
        </w:numPr>
        <w:shd w:val="clear" w:color="auto" w:fill="FFFFFF"/>
        <w:spacing w:before="0" w:line="360" w:lineRule="atLeast"/>
        <w:rPr>
          <w:b/>
          <w:bCs/>
        </w:rPr>
      </w:pPr>
      <w:r>
        <w:rPr>
          <w:b/>
          <w:bCs/>
        </w:rPr>
        <w:t>Protichůdné signály</w:t>
      </w:r>
    </w:p>
    <w:p w14:paraId="485DB0DE" w14:textId="66CE50CC" w:rsidR="00743FE9" w:rsidRDefault="00040CF7" w:rsidP="00743FE9">
      <w:pPr>
        <w:pStyle w:val="F2-zkladn"/>
        <w:spacing w:line="276" w:lineRule="auto"/>
      </w:pPr>
      <w:r>
        <w:t>„Míra inflace během třetího čtvrtletí poklesla. Ale pozor: za celkovým číslem se skrývá rozmanitost.“</w:t>
      </w:r>
    </w:p>
    <w:p w14:paraId="2FF5C462" w14:textId="3264B63A" w:rsidR="00040CF7" w:rsidRPr="00040CF7" w:rsidRDefault="00040CF7" w:rsidP="00040CF7">
      <w:pPr>
        <w:pStyle w:val="paragraph"/>
        <w:spacing w:after="0" w:line="360" w:lineRule="auto"/>
        <w:jc w:val="both"/>
        <w:textAlignment w:val="baseline"/>
        <w:rPr>
          <w:rFonts w:ascii="Arial" w:hAnsi="Arial" w:cs="Arial"/>
          <w:sz w:val="20"/>
          <w:szCs w:val="20"/>
          <w:lang w:val="cs-CZ" w:eastAsia="cs-CZ"/>
        </w:rPr>
      </w:pPr>
      <w:r w:rsidRPr="00040CF7">
        <w:rPr>
          <w:rFonts w:ascii="Arial" w:hAnsi="Arial" w:cs="Arial"/>
          <w:sz w:val="20"/>
          <w:szCs w:val="20"/>
          <w:lang w:val="cs-CZ" w:eastAsia="cs-CZ"/>
        </w:rPr>
        <w:t xml:space="preserve">„Existují známky toho, že zpřísnění měnové politiky se zatím nepropsalo do reálné ekonomiky tak rychle, jak centrální banky doufaly. Mnoho podniků například inkasuje úroky ze svých vkladů, ale (pokud si zafixovaly podmínky na více let) zatím nepřiplácí za obsluhu svého dluhu, který nahromadily za ultra nízké sazby během pandemie. V konečném důsledku se domníváme, že transmisní mechanismus je spíše zpožděný než nefunkční, a situace by se mohla rychle obrátit </w:t>
      </w:r>
      <w:r w:rsidRPr="00040CF7">
        <w:rPr>
          <w:rFonts w:eastAsiaTheme="minorHAnsi"/>
          <w:sz w:val="20"/>
          <w:szCs w:val="20"/>
          <w:lang w:val="cs-CZ" w:eastAsia="cs-CZ"/>
        </w:rPr>
        <w:t>–</w:t>
      </w:r>
      <w:r w:rsidRPr="00040CF7">
        <w:rPr>
          <w:rStyle w:val="normaltextrun"/>
          <w:rFonts w:ascii="Arial" w:hAnsi="Arial" w:cs="Arial"/>
          <w:b/>
          <w:bCs/>
          <w:color w:val="000000"/>
          <w:sz w:val="28"/>
          <w:szCs w:val="28"/>
          <w:lang w:val="cs-CZ"/>
        </w:rPr>
        <w:t xml:space="preserve"> </w:t>
      </w:r>
      <w:r w:rsidRPr="00040CF7">
        <w:rPr>
          <w:rFonts w:ascii="Arial" w:hAnsi="Arial" w:cs="Arial"/>
          <w:sz w:val="20"/>
          <w:szCs w:val="20"/>
          <w:lang w:val="cs-CZ" w:eastAsia="cs-CZ"/>
        </w:rPr>
        <w:t>zejména až podniky začnou příští rok refinancovat svůj dluh.</w:t>
      </w:r>
      <w:r>
        <w:rPr>
          <w:rFonts w:ascii="Arial" w:hAnsi="Arial" w:cs="Arial"/>
          <w:sz w:val="20"/>
          <w:szCs w:val="20"/>
          <w:lang w:val="cs-CZ" w:eastAsia="cs-CZ"/>
        </w:rPr>
        <w:t>“</w:t>
      </w:r>
    </w:p>
    <w:p w14:paraId="5CAF9042" w14:textId="2EE1A65D" w:rsidR="00040CF7" w:rsidRPr="00040CF7" w:rsidRDefault="00040CF7" w:rsidP="00040CF7">
      <w:pPr>
        <w:pStyle w:val="paragraph"/>
        <w:spacing w:before="0" w:beforeAutospacing="0" w:after="0" w:afterAutospacing="0" w:line="360" w:lineRule="auto"/>
        <w:jc w:val="both"/>
        <w:textAlignment w:val="baseline"/>
        <w:rPr>
          <w:rFonts w:ascii="Arial" w:hAnsi="Arial" w:cs="Arial"/>
          <w:sz w:val="20"/>
          <w:szCs w:val="20"/>
          <w:lang w:val="cs-CZ" w:eastAsia="cs-CZ"/>
        </w:rPr>
      </w:pPr>
      <w:r w:rsidRPr="00040CF7">
        <w:rPr>
          <w:rFonts w:ascii="Arial" w:hAnsi="Arial" w:cs="Arial"/>
          <w:sz w:val="20"/>
          <w:szCs w:val="20"/>
          <w:lang w:val="cs-CZ" w:eastAsia="cs-CZ"/>
        </w:rPr>
        <w:t xml:space="preserve">"Analytici společnosti </w:t>
      </w:r>
      <w:proofErr w:type="spellStart"/>
      <w:r w:rsidRPr="00040CF7">
        <w:rPr>
          <w:rFonts w:ascii="Arial" w:hAnsi="Arial" w:cs="Arial"/>
          <w:sz w:val="20"/>
          <w:szCs w:val="20"/>
          <w:lang w:val="cs-CZ" w:eastAsia="cs-CZ"/>
        </w:rPr>
        <w:t>Fidelity</w:t>
      </w:r>
      <w:proofErr w:type="spellEnd"/>
      <w:r w:rsidRPr="00040CF7">
        <w:rPr>
          <w:rFonts w:ascii="Arial" w:hAnsi="Arial" w:cs="Arial"/>
          <w:sz w:val="20"/>
          <w:szCs w:val="20"/>
          <w:lang w:val="cs-CZ" w:eastAsia="cs-CZ"/>
        </w:rPr>
        <w:t xml:space="preserve"> International v průměru očekávají v příštích šesti měsících mírný růst cen, přičemž upozorňují na přetrvávající tlaky v dodavatelských řetězcích v sektorech, jako je průmyslová výroba nebo komunikační služby. Federální rezervní systém totiž zatím problém inflace nevyřešil.</w:t>
      </w:r>
      <w:r>
        <w:rPr>
          <w:rFonts w:ascii="Arial" w:hAnsi="Arial" w:cs="Arial"/>
          <w:sz w:val="20"/>
          <w:szCs w:val="20"/>
          <w:lang w:val="cs-CZ" w:eastAsia="cs-CZ"/>
        </w:rPr>
        <w:t>“</w:t>
      </w:r>
    </w:p>
    <w:p w14:paraId="2107353F" w14:textId="1EABC013" w:rsidR="00743FE9" w:rsidRDefault="00040CF7" w:rsidP="00040CF7">
      <w:pPr>
        <w:pStyle w:val="F2-zkladn"/>
        <w:numPr>
          <w:ilvl w:val="0"/>
          <w:numId w:val="27"/>
        </w:numPr>
        <w:rPr>
          <w:b/>
          <w:bCs/>
        </w:rPr>
      </w:pPr>
      <w:r>
        <w:rPr>
          <w:b/>
          <w:bCs/>
        </w:rPr>
        <w:t>Sazby budou „vyšší po delší dobu“?</w:t>
      </w:r>
    </w:p>
    <w:p w14:paraId="63A3CE8F" w14:textId="632AEDDB" w:rsidR="00040CF7" w:rsidRPr="00040CF7" w:rsidRDefault="00040CF7" w:rsidP="00040CF7">
      <w:pPr>
        <w:pStyle w:val="paragraph"/>
        <w:spacing w:after="0" w:line="360" w:lineRule="auto"/>
        <w:jc w:val="both"/>
        <w:textAlignment w:val="baseline"/>
        <w:rPr>
          <w:rFonts w:ascii="Arial" w:hAnsi="Arial" w:cs="Arial"/>
          <w:sz w:val="20"/>
          <w:szCs w:val="20"/>
          <w:lang w:val="cs-CZ" w:eastAsia="cs-CZ"/>
        </w:rPr>
      </w:pPr>
      <w:r w:rsidRPr="00040CF7">
        <w:rPr>
          <w:rFonts w:ascii="Arial" w:hAnsi="Arial" w:cs="Arial"/>
          <w:sz w:val="20"/>
          <w:szCs w:val="20"/>
          <w:lang w:val="cs-CZ" w:eastAsia="cs-CZ"/>
        </w:rPr>
        <w:t>"Centrální bankéři se poučili ze svých chyb před dvěma lety a tentokrát nehodlají inflační tlaky podcenit. Poselství se tedy zdá být jasné: sazby zůstanou výše po delší dobu. Jde však o riskantní strategii, zejména s rychle se blížícími splatnostmi korporátních úvěrů. Mnozí z našich analytiků očekávají u jimi pokrývaných společností nárůst úrokových nákladů o 15 až 25 %.</w:t>
      </w:r>
      <w:r>
        <w:rPr>
          <w:rFonts w:ascii="Arial" w:hAnsi="Arial" w:cs="Arial"/>
          <w:sz w:val="20"/>
          <w:szCs w:val="20"/>
          <w:lang w:val="cs-CZ" w:eastAsia="cs-CZ"/>
        </w:rPr>
        <w:t>“</w:t>
      </w:r>
      <w:r w:rsidRPr="00040CF7">
        <w:rPr>
          <w:rFonts w:ascii="Arial" w:hAnsi="Arial" w:cs="Arial"/>
          <w:sz w:val="20"/>
          <w:szCs w:val="20"/>
          <w:lang w:val="cs-CZ" w:eastAsia="cs-CZ"/>
        </w:rPr>
        <w:t xml:space="preserve"> </w:t>
      </w:r>
    </w:p>
    <w:p w14:paraId="26E1E8FE" w14:textId="2BFADA39" w:rsidR="00743FE9" w:rsidRPr="00743FE9" w:rsidRDefault="00743FE9" w:rsidP="00743FE9">
      <w:pPr>
        <w:pStyle w:val="F2-zkladn"/>
      </w:pPr>
    </w:p>
    <w:p w14:paraId="136788E3" w14:textId="77777777" w:rsidR="0089248A" w:rsidRDefault="0089248A" w:rsidP="004C1341">
      <w:pPr>
        <w:spacing w:after="210" w:line="276" w:lineRule="auto"/>
        <w:rPr>
          <w:color w:val="20242B"/>
        </w:rPr>
      </w:pPr>
    </w:p>
    <w:p w14:paraId="15A43212" w14:textId="201A4363" w:rsidR="0089248A" w:rsidRPr="00040CF7" w:rsidRDefault="00040CF7" w:rsidP="00040CF7">
      <w:pPr>
        <w:pStyle w:val="paragraph"/>
        <w:spacing w:before="0" w:beforeAutospacing="0" w:after="0" w:afterAutospacing="0" w:line="360" w:lineRule="auto"/>
        <w:jc w:val="both"/>
        <w:textAlignment w:val="baseline"/>
        <w:rPr>
          <w:rFonts w:ascii="Arial" w:hAnsi="Arial" w:cs="Arial"/>
          <w:sz w:val="20"/>
          <w:szCs w:val="20"/>
          <w:lang w:val="cs-CZ" w:eastAsia="cs-CZ"/>
        </w:rPr>
      </w:pPr>
      <w:r>
        <w:rPr>
          <w:rFonts w:ascii="Arial" w:hAnsi="Arial" w:cs="Arial"/>
          <w:sz w:val="20"/>
          <w:szCs w:val="20"/>
          <w:lang w:val="cs-CZ" w:eastAsia="cs-CZ"/>
        </w:rPr>
        <w:lastRenderedPageBreak/>
        <w:t>„</w:t>
      </w:r>
      <w:r w:rsidRPr="00040CF7">
        <w:rPr>
          <w:rFonts w:ascii="Arial" w:hAnsi="Arial" w:cs="Arial"/>
          <w:sz w:val="20"/>
          <w:szCs w:val="20"/>
          <w:lang w:val="cs-CZ" w:eastAsia="cs-CZ"/>
        </w:rPr>
        <w:t>Situace zůstává značně nejistá, což nás vede k přesvědčení, že recese je stále pravděpodobná než naopak. Konkrétně odhadujeme, že existuje 60procentní pravděpodobnost cyklické recese, při níž nezaměstnanost v USA v příštích 12 měsících vystoupá na 4,4 až 6,5 procenta.</w:t>
      </w:r>
      <w:r>
        <w:rPr>
          <w:rFonts w:ascii="Arial" w:hAnsi="Arial" w:cs="Arial"/>
          <w:sz w:val="20"/>
          <w:szCs w:val="20"/>
          <w:lang w:val="cs-CZ" w:eastAsia="cs-CZ"/>
        </w:rPr>
        <w:t>“</w:t>
      </w:r>
    </w:p>
    <w:p w14:paraId="58F705E1" w14:textId="2EAB93CB" w:rsidR="0089248A" w:rsidRDefault="00040CF7" w:rsidP="00040CF7">
      <w:pPr>
        <w:pStyle w:val="F2-zkladn"/>
        <w:numPr>
          <w:ilvl w:val="0"/>
          <w:numId w:val="27"/>
        </w:numPr>
        <w:rPr>
          <w:b/>
          <w:bCs/>
        </w:rPr>
      </w:pPr>
      <w:r>
        <w:rPr>
          <w:b/>
          <w:bCs/>
        </w:rPr>
        <w:t>Čína – příležitost uprostřed nejistoty?</w:t>
      </w:r>
    </w:p>
    <w:p w14:paraId="5FA7F295" w14:textId="6B5ECAFE" w:rsidR="00040CF7" w:rsidRPr="00040CF7" w:rsidRDefault="00040CF7" w:rsidP="00040CF7">
      <w:pPr>
        <w:pStyle w:val="paragraph"/>
        <w:spacing w:after="0" w:line="360" w:lineRule="auto"/>
        <w:jc w:val="both"/>
        <w:textAlignment w:val="baseline"/>
        <w:rPr>
          <w:rFonts w:ascii="Arial" w:hAnsi="Arial" w:cs="Arial"/>
          <w:sz w:val="20"/>
          <w:szCs w:val="20"/>
          <w:lang w:val="cs-CZ" w:eastAsia="cs-CZ"/>
        </w:rPr>
      </w:pPr>
      <w:r>
        <w:rPr>
          <w:rFonts w:ascii="Arial" w:hAnsi="Arial" w:cs="Arial"/>
          <w:sz w:val="20"/>
          <w:szCs w:val="20"/>
          <w:lang w:val="cs-CZ" w:eastAsia="cs-CZ"/>
        </w:rPr>
        <w:t>„</w:t>
      </w:r>
      <w:r w:rsidRPr="00040CF7">
        <w:rPr>
          <w:rFonts w:ascii="Arial" w:hAnsi="Arial" w:cs="Arial"/>
          <w:sz w:val="20"/>
          <w:szCs w:val="20"/>
          <w:lang w:val="cs-CZ" w:eastAsia="cs-CZ"/>
        </w:rPr>
        <w:t>Jednou z překážek oživení Číny po pandemii je nedostatek spotřebitelské důvěry. Částečně je to způsobeno psychologickou daní, kterou si vyžádaly roky v lockdownu. Politici si však také uvědomují, jak velký význam pro sentiment mají klíčová odvětví, jako je třeba nemovitostní sektor. Je nepravděpodobné, že by čínští spotřebitelé výrazněji utráceli, dokud je velká část jejich bohatství zamčena v klesajícím trhu s bydlením.</w:t>
      </w:r>
      <w:r>
        <w:rPr>
          <w:rFonts w:ascii="Arial" w:hAnsi="Arial" w:cs="Arial"/>
          <w:sz w:val="20"/>
          <w:szCs w:val="20"/>
          <w:lang w:val="cs-CZ" w:eastAsia="cs-CZ"/>
        </w:rPr>
        <w:t>“</w:t>
      </w:r>
      <w:r w:rsidRPr="00040CF7">
        <w:rPr>
          <w:rFonts w:ascii="Arial" w:hAnsi="Arial" w:cs="Arial"/>
          <w:sz w:val="20"/>
          <w:szCs w:val="20"/>
          <w:lang w:val="cs-CZ" w:eastAsia="cs-CZ"/>
        </w:rPr>
        <w:t xml:space="preserve"> </w:t>
      </w:r>
    </w:p>
    <w:p w14:paraId="0E3E90AE" w14:textId="79572642" w:rsidR="00426759" w:rsidRPr="00426759" w:rsidRDefault="00426759" w:rsidP="00426759">
      <w:pPr>
        <w:pStyle w:val="paragraph"/>
        <w:spacing w:before="0" w:beforeAutospacing="0" w:after="0" w:afterAutospacing="0" w:line="360" w:lineRule="auto"/>
        <w:jc w:val="both"/>
        <w:textAlignment w:val="baseline"/>
        <w:rPr>
          <w:rFonts w:ascii="Arial" w:hAnsi="Arial" w:cs="Arial"/>
          <w:sz w:val="20"/>
          <w:szCs w:val="20"/>
          <w:lang w:val="cs-CZ" w:eastAsia="cs-CZ"/>
        </w:rPr>
      </w:pPr>
      <w:r>
        <w:rPr>
          <w:rFonts w:ascii="Arial" w:hAnsi="Arial" w:cs="Arial"/>
          <w:sz w:val="20"/>
          <w:szCs w:val="20"/>
          <w:lang w:val="cs-CZ" w:eastAsia="cs-CZ"/>
        </w:rPr>
        <w:t>„</w:t>
      </w:r>
      <w:r w:rsidRPr="00426759">
        <w:rPr>
          <w:rFonts w:ascii="Arial" w:hAnsi="Arial" w:cs="Arial"/>
          <w:sz w:val="20"/>
          <w:szCs w:val="20"/>
          <w:lang w:val="cs-CZ" w:eastAsia="cs-CZ"/>
        </w:rPr>
        <w:t>Peking upravil některé podmínky pro nákupy domů a vyřízení hypoték ve snaze oživit tento sektor. Neočekáváme však masové stimuly. Těm brání obavy politiků před roztočením dluhové spirály. Podobné snahy o posílení spotřebitelské důvěry však trhu pomáhají, stejně jako další světlé body, například zlepšení v sektoru služeb. Přitom akcie se obchodují s téměř historickým diskontem vůči světovým trhům. To bereme na vědomí.</w:t>
      </w:r>
      <w:r>
        <w:rPr>
          <w:rFonts w:ascii="Arial" w:hAnsi="Arial" w:cs="Arial"/>
          <w:sz w:val="20"/>
          <w:szCs w:val="20"/>
          <w:lang w:val="cs-CZ" w:eastAsia="cs-CZ"/>
        </w:rPr>
        <w:t>“</w:t>
      </w:r>
    </w:p>
    <w:p w14:paraId="4B4BC2FF" w14:textId="77777777" w:rsidR="00883B41" w:rsidRPr="00883B41" w:rsidRDefault="00883B41" w:rsidP="00883B41">
      <w:pPr>
        <w:pStyle w:val="F2-zkladn"/>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5195D0B" w14:textId="1ABF7CA7" w:rsidR="00CF15DB" w:rsidRPr="00DB284F" w:rsidRDefault="00D404D5" w:rsidP="00DB284F">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2E5A97ED" w14:textId="77777777" w:rsidR="00DC0ACA" w:rsidRDefault="00DC0ACA" w:rsidP="002027ED">
      <w:pPr>
        <w:pStyle w:val="F2-zkladn"/>
        <w:rPr>
          <w:b/>
          <w:bC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lastRenderedPageBreak/>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7FB46F8E" w14:textId="28210D38" w:rsidR="00511B34" w:rsidRDefault="00730F9E" w:rsidP="00386215">
      <w:pPr>
        <w:pStyle w:val="F2-zkladn"/>
      </w:pPr>
      <w:r w:rsidRPr="00730F9E">
        <w:t>MKAT11742</w:t>
      </w:r>
    </w:p>
    <w:sectPr w:rsidR="00511B34" w:rsidSect="002F1160">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76578" w14:textId="77777777" w:rsidR="004E7657" w:rsidRDefault="004E7657">
      <w:r>
        <w:separator/>
      </w:r>
    </w:p>
  </w:endnote>
  <w:endnote w:type="continuationSeparator" w:id="0">
    <w:p w14:paraId="58FB8EBE" w14:textId="77777777" w:rsidR="004E7657" w:rsidRDefault="004E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98D9" w14:textId="77777777" w:rsidR="004E7657" w:rsidRDefault="004E7657">
      <w:r>
        <w:separator/>
      </w:r>
    </w:p>
  </w:footnote>
  <w:footnote w:type="continuationSeparator" w:id="0">
    <w:p w14:paraId="240925AD" w14:textId="77777777" w:rsidR="004E7657" w:rsidRDefault="004E7657">
      <w:r>
        <w:continuationSeparator/>
      </w:r>
    </w:p>
  </w:footnote>
  <w:footnote w:type="continuationNotice" w:id="1">
    <w:p w14:paraId="5F6DF4A0" w14:textId="77777777" w:rsidR="004E7657" w:rsidRDefault="004E76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3" w15:restartNumberingAfterBreak="0">
    <w:nsid w:val="62396A2A"/>
    <w:multiLevelType w:val="hybridMultilevel"/>
    <w:tmpl w:val="C8808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2"/>
  </w:num>
  <w:num w:numId="3" w16cid:durableId="1582174134">
    <w:abstractNumId w:val="26"/>
  </w:num>
  <w:num w:numId="4" w16cid:durableId="1727561179">
    <w:abstractNumId w:val="18"/>
  </w:num>
  <w:num w:numId="5" w16cid:durableId="56979214">
    <w:abstractNumId w:val="19"/>
  </w:num>
  <w:num w:numId="6" w16cid:durableId="52699439">
    <w:abstractNumId w:val="17"/>
  </w:num>
  <w:num w:numId="7" w16cid:durableId="1526748972">
    <w:abstractNumId w:val="25"/>
  </w:num>
  <w:num w:numId="8" w16cid:durableId="1090007024">
    <w:abstractNumId w:val="20"/>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1"/>
  </w:num>
  <w:num w:numId="22" w16cid:durableId="1722094048">
    <w:abstractNumId w:val="12"/>
  </w:num>
  <w:num w:numId="23" w16cid:durableId="1472819905">
    <w:abstractNumId w:val="10"/>
  </w:num>
  <w:num w:numId="24" w16cid:durableId="1979648277">
    <w:abstractNumId w:val="13"/>
  </w:num>
  <w:num w:numId="25" w16cid:durableId="1164123908">
    <w:abstractNumId w:val="16"/>
  </w:num>
  <w:num w:numId="26" w16cid:durableId="2000425049">
    <w:abstractNumId w:val="24"/>
  </w:num>
  <w:num w:numId="27" w16cid:durableId="159200406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1B3"/>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CF7"/>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0D7"/>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5331"/>
    <w:rsid w:val="0024760D"/>
    <w:rsid w:val="002476C8"/>
    <w:rsid w:val="00252C08"/>
    <w:rsid w:val="0025356A"/>
    <w:rsid w:val="002548DB"/>
    <w:rsid w:val="00255E9C"/>
    <w:rsid w:val="00255F84"/>
    <w:rsid w:val="00256692"/>
    <w:rsid w:val="00257859"/>
    <w:rsid w:val="0026336D"/>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3679"/>
    <w:rsid w:val="00296721"/>
    <w:rsid w:val="00296E4C"/>
    <w:rsid w:val="00297239"/>
    <w:rsid w:val="00297E46"/>
    <w:rsid w:val="002A0553"/>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7253"/>
    <w:rsid w:val="003078EB"/>
    <w:rsid w:val="00307E7E"/>
    <w:rsid w:val="00310E2F"/>
    <w:rsid w:val="00311AE0"/>
    <w:rsid w:val="003172DF"/>
    <w:rsid w:val="003177AF"/>
    <w:rsid w:val="00320015"/>
    <w:rsid w:val="00321AE8"/>
    <w:rsid w:val="00322CF1"/>
    <w:rsid w:val="00327439"/>
    <w:rsid w:val="003274DC"/>
    <w:rsid w:val="00327F8D"/>
    <w:rsid w:val="00327F8E"/>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B0F"/>
    <w:rsid w:val="003D626C"/>
    <w:rsid w:val="003E03EB"/>
    <w:rsid w:val="003E0642"/>
    <w:rsid w:val="003E1363"/>
    <w:rsid w:val="003E450D"/>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6759"/>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57BB6"/>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63EC"/>
    <w:rsid w:val="00487542"/>
    <w:rsid w:val="0049074E"/>
    <w:rsid w:val="004907F4"/>
    <w:rsid w:val="00493172"/>
    <w:rsid w:val="0049538C"/>
    <w:rsid w:val="004955BB"/>
    <w:rsid w:val="004A0EA9"/>
    <w:rsid w:val="004A3C5B"/>
    <w:rsid w:val="004A461C"/>
    <w:rsid w:val="004A4780"/>
    <w:rsid w:val="004A47DC"/>
    <w:rsid w:val="004A52B6"/>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A7"/>
    <w:rsid w:val="004D1014"/>
    <w:rsid w:val="004D3633"/>
    <w:rsid w:val="004E1CB1"/>
    <w:rsid w:val="004E2D7E"/>
    <w:rsid w:val="004E4B6A"/>
    <w:rsid w:val="004E6300"/>
    <w:rsid w:val="004E7657"/>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6F85"/>
    <w:rsid w:val="005C00A9"/>
    <w:rsid w:val="005C20F7"/>
    <w:rsid w:val="005C22F8"/>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058F1"/>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CCF"/>
    <w:rsid w:val="0069509B"/>
    <w:rsid w:val="00695445"/>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D68"/>
    <w:rsid w:val="006B6F61"/>
    <w:rsid w:val="006C4633"/>
    <w:rsid w:val="006C5636"/>
    <w:rsid w:val="006C6C67"/>
    <w:rsid w:val="006C79D3"/>
    <w:rsid w:val="006D0805"/>
    <w:rsid w:val="006D0AA8"/>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0F9E"/>
    <w:rsid w:val="00731F2B"/>
    <w:rsid w:val="00734AFD"/>
    <w:rsid w:val="00735E32"/>
    <w:rsid w:val="00736BEA"/>
    <w:rsid w:val="00740095"/>
    <w:rsid w:val="00742862"/>
    <w:rsid w:val="00742FD0"/>
    <w:rsid w:val="007432EF"/>
    <w:rsid w:val="00743FE9"/>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15AD"/>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5CD8"/>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4A50"/>
    <w:rsid w:val="00865C11"/>
    <w:rsid w:val="00866290"/>
    <w:rsid w:val="00866978"/>
    <w:rsid w:val="00866D9F"/>
    <w:rsid w:val="00871D3C"/>
    <w:rsid w:val="00872129"/>
    <w:rsid w:val="00872DC6"/>
    <w:rsid w:val="008730BC"/>
    <w:rsid w:val="00874D66"/>
    <w:rsid w:val="0087590B"/>
    <w:rsid w:val="00877A7A"/>
    <w:rsid w:val="00877D54"/>
    <w:rsid w:val="0088208A"/>
    <w:rsid w:val="00882EAC"/>
    <w:rsid w:val="0088306B"/>
    <w:rsid w:val="00883B41"/>
    <w:rsid w:val="008874FC"/>
    <w:rsid w:val="0088798F"/>
    <w:rsid w:val="00890B69"/>
    <w:rsid w:val="0089248A"/>
    <w:rsid w:val="008933DC"/>
    <w:rsid w:val="008936B3"/>
    <w:rsid w:val="00893890"/>
    <w:rsid w:val="00894515"/>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8F3B73"/>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43FC"/>
    <w:rsid w:val="009C5A80"/>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42F1"/>
    <w:rsid w:val="00A46ABD"/>
    <w:rsid w:val="00A46C18"/>
    <w:rsid w:val="00A470CE"/>
    <w:rsid w:val="00A50344"/>
    <w:rsid w:val="00A503E9"/>
    <w:rsid w:val="00A50E65"/>
    <w:rsid w:val="00A52058"/>
    <w:rsid w:val="00A52E2E"/>
    <w:rsid w:val="00A55536"/>
    <w:rsid w:val="00A5613C"/>
    <w:rsid w:val="00A570EE"/>
    <w:rsid w:val="00A57C48"/>
    <w:rsid w:val="00A57EB2"/>
    <w:rsid w:val="00A608F5"/>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488F"/>
    <w:rsid w:val="00A92670"/>
    <w:rsid w:val="00A96434"/>
    <w:rsid w:val="00AA2944"/>
    <w:rsid w:val="00AA3179"/>
    <w:rsid w:val="00AB0B41"/>
    <w:rsid w:val="00AB1635"/>
    <w:rsid w:val="00AB297D"/>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5D1E"/>
    <w:rsid w:val="00AF6D11"/>
    <w:rsid w:val="00B01B17"/>
    <w:rsid w:val="00B04103"/>
    <w:rsid w:val="00B047E9"/>
    <w:rsid w:val="00B05867"/>
    <w:rsid w:val="00B07BDD"/>
    <w:rsid w:val="00B10EC0"/>
    <w:rsid w:val="00B123FF"/>
    <w:rsid w:val="00B134B6"/>
    <w:rsid w:val="00B142F4"/>
    <w:rsid w:val="00B16061"/>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6014"/>
    <w:rsid w:val="00C264F8"/>
    <w:rsid w:val="00C27D23"/>
    <w:rsid w:val="00C31313"/>
    <w:rsid w:val="00C32874"/>
    <w:rsid w:val="00C37286"/>
    <w:rsid w:val="00C41668"/>
    <w:rsid w:val="00C431FA"/>
    <w:rsid w:val="00C43488"/>
    <w:rsid w:val="00C44F7A"/>
    <w:rsid w:val="00C452D9"/>
    <w:rsid w:val="00C45666"/>
    <w:rsid w:val="00C47754"/>
    <w:rsid w:val="00C47D30"/>
    <w:rsid w:val="00C500E2"/>
    <w:rsid w:val="00C5024B"/>
    <w:rsid w:val="00C54452"/>
    <w:rsid w:val="00C557BA"/>
    <w:rsid w:val="00C56774"/>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5A03"/>
    <w:rsid w:val="00E167E1"/>
    <w:rsid w:val="00E21E8C"/>
    <w:rsid w:val="00E250B5"/>
    <w:rsid w:val="00E2708D"/>
    <w:rsid w:val="00E270E6"/>
    <w:rsid w:val="00E2770A"/>
    <w:rsid w:val="00E33737"/>
    <w:rsid w:val="00E33CD1"/>
    <w:rsid w:val="00E44250"/>
    <w:rsid w:val="00E47E96"/>
    <w:rsid w:val="00E53631"/>
    <w:rsid w:val="00E53F34"/>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6C48"/>
    <w:rsid w:val="00EA71E1"/>
    <w:rsid w:val="00EB0AE8"/>
    <w:rsid w:val="00EB26CD"/>
    <w:rsid w:val="00EB3306"/>
    <w:rsid w:val="00EB3FB0"/>
    <w:rsid w:val="00EB4C4B"/>
    <w:rsid w:val="00EB5A09"/>
    <w:rsid w:val="00EB5B49"/>
    <w:rsid w:val="00EB6E94"/>
    <w:rsid w:val="00EC1C37"/>
    <w:rsid w:val="00EC4A33"/>
    <w:rsid w:val="00EC4A87"/>
    <w:rsid w:val="00EC6271"/>
    <w:rsid w:val="00EC7A99"/>
    <w:rsid w:val="00ED086D"/>
    <w:rsid w:val="00ED0F0B"/>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467A"/>
    <w:rsid w:val="00F0649C"/>
    <w:rsid w:val="00F07952"/>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48CA"/>
    <w:rsid w:val="00F45123"/>
    <w:rsid w:val="00F4578F"/>
    <w:rsid w:val="00F46149"/>
    <w:rsid w:val="00F46952"/>
    <w:rsid w:val="00F50086"/>
    <w:rsid w:val="00F52603"/>
    <w:rsid w:val="00F52760"/>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3.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1180</Words>
  <Characters>6966</Characters>
  <Application>Microsoft Office Word</Application>
  <DocSecurity>0</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8130</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4</cp:revision>
  <cp:lastPrinted>2015-11-30T16:29:00Z</cp:lastPrinted>
  <dcterms:created xsi:type="dcterms:W3CDTF">2023-09-29T08:14:00Z</dcterms:created>
  <dcterms:modified xsi:type="dcterms:W3CDTF">2023-10-02T07:51:00Z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